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76" w:rsidRPr="004D225A" w:rsidRDefault="002E6B32" w:rsidP="00BC1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25A">
        <w:rPr>
          <w:rFonts w:ascii="Times New Roman" w:hAnsi="Times New Roman" w:cs="Times New Roman"/>
          <w:b/>
          <w:sz w:val="28"/>
          <w:szCs w:val="28"/>
        </w:rPr>
        <w:t>С</w:t>
      </w:r>
      <w:r w:rsidR="0032722F" w:rsidRPr="004D225A">
        <w:rPr>
          <w:rFonts w:ascii="Times New Roman" w:hAnsi="Times New Roman" w:cs="Times New Roman"/>
          <w:b/>
          <w:sz w:val="28"/>
          <w:szCs w:val="28"/>
        </w:rPr>
        <w:t>р</w:t>
      </w:r>
      <w:r w:rsidR="006A1900" w:rsidRPr="004D225A">
        <w:rPr>
          <w:rFonts w:ascii="Times New Roman" w:hAnsi="Times New Roman" w:cs="Times New Roman"/>
          <w:b/>
          <w:sz w:val="28"/>
          <w:szCs w:val="28"/>
        </w:rPr>
        <w:t>авнительная таблица планируемых изменений</w:t>
      </w:r>
      <w:r w:rsidRPr="004D225A">
        <w:rPr>
          <w:rFonts w:ascii="Times New Roman" w:hAnsi="Times New Roman" w:cs="Times New Roman"/>
          <w:b/>
          <w:sz w:val="28"/>
          <w:szCs w:val="28"/>
        </w:rPr>
        <w:t xml:space="preserve"> в решение Тверской гор</w:t>
      </w:r>
      <w:r w:rsidR="004D225A">
        <w:rPr>
          <w:rFonts w:ascii="Times New Roman" w:hAnsi="Times New Roman" w:cs="Times New Roman"/>
          <w:b/>
          <w:sz w:val="28"/>
          <w:szCs w:val="28"/>
        </w:rPr>
        <w:t>одской Думы от 16.10.2014 № 368</w:t>
      </w:r>
      <w:r w:rsidR="004D225A">
        <w:rPr>
          <w:rFonts w:ascii="Times New Roman" w:hAnsi="Times New Roman" w:cs="Times New Roman"/>
          <w:b/>
          <w:sz w:val="28"/>
          <w:szCs w:val="28"/>
        </w:rPr>
        <w:br/>
      </w:r>
      <w:r w:rsidRPr="004D225A">
        <w:rPr>
          <w:rFonts w:ascii="Times New Roman" w:hAnsi="Times New Roman" w:cs="Times New Roman"/>
          <w:b/>
          <w:sz w:val="28"/>
          <w:szCs w:val="28"/>
        </w:rPr>
        <w:t>«Об утв</w:t>
      </w:r>
      <w:r w:rsidR="0032722F" w:rsidRPr="004D225A">
        <w:rPr>
          <w:rFonts w:ascii="Times New Roman" w:hAnsi="Times New Roman" w:cs="Times New Roman"/>
          <w:b/>
          <w:sz w:val="28"/>
          <w:szCs w:val="28"/>
        </w:rPr>
        <w:t xml:space="preserve">ерждении Правил благоустройства </w:t>
      </w:r>
      <w:r w:rsidRPr="004D225A">
        <w:rPr>
          <w:rFonts w:ascii="Times New Roman" w:hAnsi="Times New Roman" w:cs="Times New Roman"/>
          <w:b/>
          <w:sz w:val="28"/>
          <w:szCs w:val="28"/>
        </w:rPr>
        <w:t>территории города Твери</w:t>
      </w:r>
      <w:r w:rsidR="00781E28" w:rsidRPr="004D225A">
        <w:rPr>
          <w:rFonts w:ascii="Times New Roman" w:hAnsi="Times New Roman" w:cs="Times New Roman"/>
          <w:b/>
          <w:sz w:val="28"/>
          <w:szCs w:val="28"/>
        </w:rPr>
        <w:t>»</w:t>
      </w:r>
    </w:p>
    <w:p w:rsidR="00A8471A" w:rsidRPr="00BC1F3F" w:rsidRDefault="00A8471A" w:rsidP="00BC1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598"/>
        <w:gridCol w:w="7598"/>
      </w:tblGrid>
      <w:tr w:rsidR="001C15D5" w:rsidRPr="000A387E" w:rsidTr="008A7B42">
        <w:tc>
          <w:tcPr>
            <w:tcW w:w="567" w:type="dxa"/>
          </w:tcPr>
          <w:p w:rsidR="00BD2099" w:rsidRPr="000A387E" w:rsidRDefault="00BD2099" w:rsidP="00845C4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8" w:type="dxa"/>
            <w:vAlign w:val="center"/>
          </w:tcPr>
          <w:p w:rsidR="00BD2099" w:rsidRPr="000D10B6" w:rsidRDefault="00BD2099" w:rsidP="000D10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10B6">
              <w:rPr>
                <w:rFonts w:ascii="Times New Roman" w:hAnsi="Times New Roman" w:cs="Times New Roman"/>
                <w:b/>
                <w:sz w:val="24"/>
              </w:rPr>
              <w:t>Действующая редакция</w:t>
            </w:r>
          </w:p>
        </w:tc>
        <w:tc>
          <w:tcPr>
            <w:tcW w:w="7598" w:type="dxa"/>
            <w:vAlign w:val="center"/>
          </w:tcPr>
          <w:p w:rsidR="00BD2099" w:rsidRPr="000D10B6" w:rsidRDefault="00BD2099" w:rsidP="000D10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10B6">
              <w:rPr>
                <w:rFonts w:ascii="Times New Roman" w:hAnsi="Times New Roman" w:cs="Times New Roman"/>
                <w:b/>
                <w:sz w:val="24"/>
              </w:rPr>
              <w:t>Предлагаемые изменения</w:t>
            </w:r>
          </w:p>
        </w:tc>
      </w:tr>
      <w:tr w:rsidR="00C60C4E" w:rsidRPr="000A387E" w:rsidTr="008A7B42">
        <w:tc>
          <w:tcPr>
            <w:tcW w:w="567" w:type="dxa"/>
          </w:tcPr>
          <w:p w:rsidR="00C60C4E" w:rsidRPr="000A387E" w:rsidRDefault="00C60C4E" w:rsidP="00845C4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8" w:type="dxa"/>
          </w:tcPr>
          <w:p w:rsidR="00A37CB6" w:rsidRPr="000D10B6" w:rsidRDefault="00A37CB6" w:rsidP="00845C4D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B6">
              <w:rPr>
                <w:rFonts w:ascii="Times New Roman" w:hAnsi="Times New Roman" w:cs="Times New Roman"/>
                <w:bCs/>
                <w:sz w:val="24"/>
                <w:szCs w:val="24"/>
              </w:rPr>
              <w:t>2.3. Физические и юридические лица независимо от их организационно-правовых форм обязаны осуществлять благоустройство земельного участка, зданий, строений, сооружений, принадлежащих им на праве собственности, в объеме, предусмотренном действующим законодательством Российской Федерации, настоящими Правилами, самостоятельно или посредством привлечения специализированных организаций за счет собственных средств.</w:t>
            </w:r>
          </w:p>
          <w:p w:rsidR="00A37CB6" w:rsidRPr="000D10B6" w:rsidRDefault="00A37CB6" w:rsidP="00845C4D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B6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случае, если здание, строение, сооружение принадлежит на праве собственности нескольким собственникам территория земельного участка, подлежащая благоустройст</w:t>
            </w:r>
            <w:r w:rsidR="008A7B42">
              <w:rPr>
                <w:rFonts w:ascii="Times New Roman" w:hAnsi="Times New Roman" w:cs="Times New Roman"/>
                <w:bCs/>
                <w:sz w:val="24"/>
                <w:szCs w:val="24"/>
              </w:rPr>
              <w:t>ву, определяется с учетом долей</w:t>
            </w:r>
            <w:r w:rsidR="008A7B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D10B6">
              <w:rPr>
                <w:rFonts w:ascii="Times New Roman" w:hAnsi="Times New Roman" w:cs="Times New Roman"/>
                <w:bCs/>
                <w:sz w:val="24"/>
                <w:szCs w:val="24"/>
              </w:rPr>
              <w:t>в праве собственности на здание, строение, сооружение.</w:t>
            </w:r>
          </w:p>
          <w:p w:rsidR="00A37CB6" w:rsidRPr="000D10B6" w:rsidRDefault="00A37CB6" w:rsidP="00845C4D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B6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случае, если на территории земельного участка находятся несколько зданий, строений, сооружений, принадлежащих на праве собственности нескольким собственникам, территория земельного участка, подлежащая благоустройству, определяется соглашением сторон.</w:t>
            </w:r>
          </w:p>
          <w:p w:rsidR="00A37CB6" w:rsidRPr="000D10B6" w:rsidRDefault="00A37CB6" w:rsidP="00845C4D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B6">
              <w:rPr>
                <w:rFonts w:ascii="Times New Roman" w:hAnsi="Times New Roman" w:cs="Times New Roman"/>
                <w:bCs/>
                <w:sz w:val="24"/>
                <w:szCs w:val="24"/>
              </w:rPr>
              <w:t>При отсутствии соглашения сторон территория земельного участка, подлежащая благоустройству, определяется в соответствии с нормами действующего законодательства.</w:t>
            </w:r>
          </w:p>
          <w:p w:rsidR="00C60C4E" w:rsidRPr="000D10B6" w:rsidRDefault="00A37CB6" w:rsidP="00845C4D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B6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случае, если земельный участок, находящийся во владении физического или юридического лица, не оформлен в установленном порядке, содержанию подлежит территория по фактически сложившейся границе земельного участка, находящегося во владении.</w:t>
            </w:r>
          </w:p>
        </w:tc>
        <w:tc>
          <w:tcPr>
            <w:tcW w:w="7598" w:type="dxa"/>
            <w:vAlign w:val="center"/>
          </w:tcPr>
          <w:p w:rsidR="00A37CB6" w:rsidRPr="000D10B6" w:rsidRDefault="00A37CB6" w:rsidP="00845C4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Физические и юридические лица независимо от их организационно-правовых форм обязаны осуществлять благоустройство земельного участка, зданий, строений, сооружений, принадлежащих им на праве собственности, в объеме, предусмотренном действующим законодательством Российской Федерации, настоящими Правилами, самостоятельно или посредством привлечения специализированных организаций за счет собственных средств.</w:t>
            </w:r>
          </w:p>
          <w:p w:rsidR="000D10B6" w:rsidRPr="00003540" w:rsidRDefault="000D10B6" w:rsidP="00845C4D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035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Благоустройство территорий обеспечивается выполнением комплекса мероприятий по их содержанию, установленных настоящими Правилами, в том числе посредством проведения ежедневных осмотров всех элементов и объектов благоустройства, расположенных на соответствующей территории, зданий, строений, сооружений в целях выявления неисправностей, повреждений и иных нарушений требований к объектам и элементам благоустройства и их содержанию, если иные сроки не установлены действующим законодательством.</w:t>
            </w:r>
          </w:p>
          <w:p w:rsidR="00A37CB6" w:rsidRPr="00A37CB6" w:rsidRDefault="00A37CB6" w:rsidP="00845C4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здание, строение, сооружение принадлежит на праве собственности нескольким собственникам территория земельного участка, подлежащая благоустройст</w:t>
            </w:r>
            <w:r w:rsidR="008A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ву, определяется с учетом долей</w:t>
            </w:r>
            <w:r w:rsidR="008A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7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праве собственности на здание, строение, сооружение. </w:t>
            </w:r>
          </w:p>
          <w:p w:rsidR="00A37CB6" w:rsidRPr="00A37CB6" w:rsidRDefault="00A37CB6" w:rsidP="00845C4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на территории земельного участка находятся несколько зданий, строений, сооружений, принадлежащих на праве собственности нескольким собственникам, территория земельного участка, подлежащая благоустройству, определяется соглашением сторон. </w:t>
            </w:r>
          </w:p>
          <w:p w:rsidR="00A37CB6" w:rsidRPr="00A37CB6" w:rsidRDefault="00A37CB6" w:rsidP="00845C4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соглашения сторон территория земельного участка, подлежащая благоустройст</w:t>
            </w:r>
            <w:r w:rsidR="008A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ву, определяется в соответствии</w:t>
            </w:r>
            <w:r w:rsidR="008A7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7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нормами действующего законодательства. </w:t>
            </w:r>
          </w:p>
          <w:p w:rsidR="00C60C4E" w:rsidRPr="000D10B6" w:rsidRDefault="00A37CB6" w:rsidP="00845C4D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земельный участок, находящийся во владении физического или юридического лица, не оформлен в установленном порядке, содержанию подлежит территория по фактически сложившейся границе земельного участка, находящегося во владении. </w:t>
            </w:r>
          </w:p>
        </w:tc>
      </w:tr>
      <w:tr w:rsidR="001C15D5" w:rsidRPr="000A387E" w:rsidTr="008A7B42">
        <w:tc>
          <w:tcPr>
            <w:tcW w:w="567" w:type="dxa"/>
          </w:tcPr>
          <w:p w:rsidR="00BD2099" w:rsidRPr="000A387E" w:rsidRDefault="00BD2099" w:rsidP="00845C4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8" w:type="dxa"/>
          </w:tcPr>
          <w:p w:rsidR="00BD2099" w:rsidRPr="000A387E" w:rsidRDefault="00BD2099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87E">
              <w:rPr>
                <w:rFonts w:ascii="Times New Roman" w:hAnsi="Times New Roman" w:cs="Times New Roman"/>
                <w:bCs/>
                <w:sz w:val="24"/>
                <w:szCs w:val="24"/>
              </w:rPr>
              <w:t>2.11. Уполномоченные органы и структурные подразделения Администрации города Твери:</w:t>
            </w:r>
          </w:p>
          <w:p w:rsidR="00BD2099" w:rsidRPr="000A387E" w:rsidRDefault="00BD2099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87E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осуществляют контроль за выполнением работ по содержанию и благоустройству территории города, в том числе территорий общего пользования, в пределах установленных полномочий;</w:t>
            </w:r>
          </w:p>
          <w:p w:rsidR="00BD2099" w:rsidRPr="00FC759B" w:rsidRDefault="00BD2099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FC759B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- составляют акты обследования территорий (объектов) в соответствии с типовой формой, утверждаемой Администрацией города Твери.</w:t>
            </w:r>
          </w:p>
        </w:tc>
        <w:tc>
          <w:tcPr>
            <w:tcW w:w="7598" w:type="dxa"/>
            <w:vAlign w:val="center"/>
          </w:tcPr>
          <w:p w:rsidR="00BD2099" w:rsidRPr="000A387E" w:rsidRDefault="00BD2099" w:rsidP="000A387E">
            <w:pPr>
              <w:tabs>
                <w:tab w:val="left" w:pos="993"/>
                <w:tab w:val="left" w:pos="1276"/>
              </w:tabs>
              <w:ind w:firstLine="3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третий пункта 2.11 Правил признать утратившим силу</w:t>
            </w:r>
            <w:r w:rsid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C15D5" w:rsidRPr="000A387E" w:rsidTr="008A7B42">
        <w:tc>
          <w:tcPr>
            <w:tcW w:w="567" w:type="dxa"/>
          </w:tcPr>
          <w:p w:rsidR="00BD2099" w:rsidRPr="000A387E" w:rsidRDefault="00BD2099" w:rsidP="00845C4D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0A387E" w:rsidRPr="000A387E" w:rsidRDefault="000A387E" w:rsidP="000A387E">
            <w:pPr>
              <w:pStyle w:val="a6"/>
              <w:spacing w:after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 xml:space="preserve">3.1. Юридические лица и физические лица, в силу закона или </w:t>
            </w:r>
            <w:proofErr w:type="gramStart"/>
            <w:r w:rsidRPr="000A387E">
              <w:rPr>
                <w:bCs/>
              </w:rPr>
              <w:t>договора</w:t>
            </w:r>
            <w:proofErr w:type="gramEnd"/>
            <w:r w:rsidRPr="000A387E">
              <w:rPr>
                <w:bCs/>
              </w:rPr>
              <w:t xml:space="preserve"> принявшие на себя обязательства содержать территории, здания, строения, сооружения, обязаны:</w:t>
            </w:r>
          </w:p>
          <w:p w:rsidR="00BD2099" w:rsidRPr="000A387E" w:rsidRDefault="001350E2" w:rsidP="000A387E">
            <w:pPr>
              <w:pStyle w:val="a6"/>
              <w:spacing w:before="0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>5) обеспечить вывоз и размещение (обработку, утилизацию, обезвреживание, захоронение) отходов из мест (площадок) накопления твердых коммунальных отходов в соответствии с законод</w:t>
            </w:r>
            <w:r w:rsidR="00B63689">
              <w:rPr>
                <w:bCs/>
              </w:rPr>
              <w:t>ательством Российской Федерации.</w:t>
            </w:r>
          </w:p>
        </w:tc>
        <w:tc>
          <w:tcPr>
            <w:tcW w:w="7598" w:type="dxa"/>
          </w:tcPr>
          <w:p w:rsidR="000A387E" w:rsidRDefault="000A387E" w:rsidP="000A387E">
            <w:pPr>
              <w:pStyle w:val="a6"/>
              <w:spacing w:before="168" w:after="0"/>
              <w:ind w:firstLine="317"/>
              <w:contextualSpacing/>
              <w:jc w:val="both"/>
            </w:pPr>
            <w:r>
              <w:t xml:space="preserve">3.1. Юридические лица и физические лица, в силу закона или </w:t>
            </w:r>
            <w:proofErr w:type="gramStart"/>
            <w:r>
              <w:t>договора</w:t>
            </w:r>
            <w:proofErr w:type="gramEnd"/>
            <w:r>
              <w:t xml:space="preserve"> принявшие на себя обязательства содержать территории, здания, строения, сооружения, обязаны:</w:t>
            </w:r>
          </w:p>
          <w:p w:rsidR="00BD2099" w:rsidRPr="00FC759B" w:rsidRDefault="001350E2" w:rsidP="000A387E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/>
                <w:u w:val="single"/>
              </w:rPr>
            </w:pPr>
            <w:r w:rsidRPr="00FC759B">
              <w:rPr>
                <w:b/>
                <w:u w:val="single"/>
              </w:rPr>
              <w:t>5) обеспечить накопление отходов в соответствии с законодат</w:t>
            </w:r>
            <w:r w:rsidR="00B63689" w:rsidRPr="00FC759B">
              <w:rPr>
                <w:b/>
                <w:u w:val="single"/>
              </w:rPr>
              <w:t>ельством Российской Федерации.</w:t>
            </w:r>
          </w:p>
        </w:tc>
      </w:tr>
      <w:tr w:rsidR="001C15D5" w:rsidRPr="000A387E" w:rsidTr="008A7B42">
        <w:tc>
          <w:tcPr>
            <w:tcW w:w="567" w:type="dxa"/>
          </w:tcPr>
          <w:p w:rsidR="00BD2099" w:rsidRPr="000A387E" w:rsidRDefault="00BD2099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BD2099" w:rsidRPr="000A387E" w:rsidRDefault="009C0519" w:rsidP="00B63689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>3.2. Складирование твердых коммунальных отходов осуществляется в соответствии с договором на оказание услуг по обращению с твердыми коммунальными отхода</w:t>
            </w:r>
            <w:r w:rsidR="00B63689">
              <w:rPr>
                <w:bCs/>
              </w:rPr>
              <w:t>ми способами, предусмотренными п</w:t>
            </w:r>
            <w:r w:rsidRPr="000A387E">
              <w:rPr>
                <w:bCs/>
              </w:rPr>
              <w:t xml:space="preserve">остановлением Правительства Российской </w:t>
            </w:r>
            <w:r w:rsidR="00B63689">
              <w:rPr>
                <w:bCs/>
              </w:rPr>
              <w:t>Федерации от 12.11.2016</w:t>
            </w:r>
            <w:r w:rsidR="00B63689">
              <w:rPr>
                <w:bCs/>
              </w:rPr>
              <w:br/>
              <w:t>№ 1156 «</w:t>
            </w:r>
            <w:r w:rsidRPr="000A387E">
              <w:rPr>
                <w:bCs/>
              </w:rPr>
              <w:t xml:space="preserve">Об обращении с твердыми коммунальными отходами и внесении изменения в Постановление Правительства Российской Федерации от 25 августа 2008 г. </w:t>
            </w:r>
            <w:r w:rsidR="00B63689">
              <w:rPr>
                <w:bCs/>
              </w:rPr>
              <w:t>№</w:t>
            </w:r>
            <w:r w:rsidRPr="000A387E">
              <w:rPr>
                <w:bCs/>
              </w:rPr>
              <w:t xml:space="preserve"> 641</w:t>
            </w:r>
            <w:r w:rsidR="00B63689">
              <w:rPr>
                <w:bCs/>
              </w:rPr>
              <w:t>»</w:t>
            </w:r>
            <w:r w:rsidRPr="000A387E">
              <w:rPr>
                <w:bCs/>
              </w:rPr>
              <w:t>.</w:t>
            </w:r>
          </w:p>
        </w:tc>
        <w:tc>
          <w:tcPr>
            <w:tcW w:w="7598" w:type="dxa"/>
          </w:tcPr>
          <w:p w:rsidR="00BD2099" w:rsidRPr="000A387E" w:rsidRDefault="009C0519" w:rsidP="00003540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Складирование твердых коммунальных отходов осуществляется в соответствии с договором на оказание услуг по обращению с твердыми коммунальными отходами способами, предусмотренными </w:t>
            </w:r>
            <w:r w:rsidRPr="000035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Правилами обращения с твердыми коммунальными отходами, утвержденными постановлением Правительства Рос</w:t>
            </w:r>
            <w:r w:rsidR="001762B3" w:rsidRPr="000035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сийской Федерации от 07.03.2025</w:t>
            </w:r>
            <w:r w:rsidR="000035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0035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№ 293.</w:t>
            </w:r>
          </w:p>
        </w:tc>
      </w:tr>
      <w:tr w:rsidR="001350E2" w:rsidRPr="000A387E" w:rsidTr="008A7B42">
        <w:tc>
          <w:tcPr>
            <w:tcW w:w="567" w:type="dxa"/>
          </w:tcPr>
          <w:p w:rsidR="001350E2" w:rsidRPr="000A387E" w:rsidRDefault="001350E2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307051" w:rsidRDefault="00307051" w:rsidP="000A387E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307051">
              <w:rPr>
                <w:bCs/>
              </w:rPr>
              <w:t>3.13. На территории города запрещается:</w:t>
            </w:r>
          </w:p>
          <w:p w:rsidR="00307051" w:rsidRDefault="00967E12" w:rsidP="000A387E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>9) сброс в контейнеры трупов животных, птиц, других биологических отходов, крупногабаритных отходов, строительного мусора, ртутьсодержащих осветительных приборов, отработанных автошин, аккумуляторов, горюче-смазочных материалов и других опасных отходов;</w:t>
            </w:r>
            <w:r w:rsidR="00307051" w:rsidRPr="000A387E">
              <w:rPr>
                <w:bCs/>
              </w:rPr>
              <w:t xml:space="preserve"> </w:t>
            </w:r>
          </w:p>
          <w:p w:rsidR="001350E2" w:rsidRPr="000A387E" w:rsidRDefault="00307051" w:rsidP="000A387E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>10.1) сброс в бункеры трупов животных, птиц, других биологических отходов, ртутьсодержащих осветительных приборов, отработанных автошин, аккумуляторов, горюче-смазочных мате</w:t>
            </w:r>
            <w:r>
              <w:rPr>
                <w:bCs/>
              </w:rPr>
              <w:t>риалов и других опасных отходов.</w:t>
            </w:r>
          </w:p>
        </w:tc>
        <w:tc>
          <w:tcPr>
            <w:tcW w:w="7598" w:type="dxa"/>
          </w:tcPr>
          <w:p w:rsidR="00307051" w:rsidRDefault="00307051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 На территории города запрещается:</w:t>
            </w:r>
          </w:p>
          <w:p w:rsidR="001350E2" w:rsidRDefault="00967E12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 сброс в контейнеры трупов животных, птиц, других биологических отходов, крупногабаритных отходов, строительного мусора, ртутьсодержащих осветительных приборов, отработанных автошин, аккумуляторов, горюче-смазочных материалов и </w:t>
            </w:r>
            <w:r w:rsidR="000A6BCF" w:rsidRPr="000035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иных отходов, установленных законодательством Российской Федерации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7051" w:rsidRPr="000A387E" w:rsidRDefault="00307051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10.1) сброс в бункеры трупов животных, птиц, других биологических отходов, ртутьсодержащих осветительных приборов, отработанных автошин, аккумуляторов, горюче-смазочных материалов и </w:t>
            </w:r>
            <w:r w:rsidRPr="000035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иных отходов, установленных 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50E2" w:rsidRPr="000A387E" w:rsidTr="008A7B42">
        <w:tc>
          <w:tcPr>
            <w:tcW w:w="567" w:type="dxa"/>
          </w:tcPr>
          <w:p w:rsidR="001350E2" w:rsidRPr="000A387E" w:rsidRDefault="001350E2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1350E2" w:rsidRPr="000A387E" w:rsidRDefault="000A6BCF" w:rsidP="000A387E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 xml:space="preserve">5.25. Наименования транспортно-пешеходных коммуникаций (проспектов, улиц, шоссе, набережных, бульваров и др.) пишутся на </w:t>
            </w:r>
            <w:r w:rsidRPr="000A387E">
              <w:rPr>
                <w:bCs/>
              </w:rPr>
              <w:lastRenderedPageBreak/>
              <w:t>русском языке в соответствии с их обозначением в Адресной системе города Твери и могут дублироваться буквами латинского алфавита.</w:t>
            </w:r>
          </w:p>
        </w:tc>
        <w:tc>
          <w:tcPr>
            <w:tcW w:w="7598" w:type="dxa"/>
          </w:tcPr>
          <w:p w:rsidR="001350E2" w:rsidRPr="000A387E" w:rsidRDefault="000A6BCF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5.25. Наименования элементов </w:t>
            </w:r>
            <w:r w:rsidRPr="00142E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улично-дорожной сети (улица, проспект, переулок, проезд, площадь, бульвар, тупик, съезд, шоссе, аллея и др.)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пишутся на русском языке в соответствии с их 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обозначением </w:t>
            </w:r>
            <w:r w:rsidRPr="00142E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 государственном адресном реестре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могут дублироваться буквами латинского алфавита.</w:t>
            </w:r>
          </w:p>
        </w:tc>
      </w:tr>
      <w:tr w:rsidR="001350E2" w:rsidRPr="000A387E" w:rsidTr="008A7B42">
        <w:tc>
          <w:tcPr>
            <w:tcW w:w="567" w:type="dxa"/>
          </w:tcPr>
          <w:p w:rsidR="001350E2" w:rsidRPr="000A387E" w:rsidRDefault="001350E2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  <w:vAlign w:val="center"/>
          </w:tcPr>
          <w:p w:rsidR="001350E2" w:rsidRPr="000A387E" w:rsidRDefault="001350E2" w:rsidP="00A43EA2">
            <w:pPr>
              <w:pStyle w:val="a6"/>
              <w:spacing w:before="168" w:beforeAutospacing="0" w:after="0" w:afterAutospacing="0"/>
              <w:ind w:firstLine="317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FC759B" w:rsidRDefault="00FC759B" w:rsidP="00FC759B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 «Требования к вывескам (информационным табличкам), информационным конструкциям» раздела V Правил дополнить пунктом</w:t>
            </w:r>
            <w:r w:rsidR="00E6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5.44-I следующего содержания:</w:t>
            </w:r>
          </w:p>
          <w:p w:rsidR="005C615D" w:rsidRPr="000A387E" w:rsidRDefault="00E606F2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615D"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5.44-I. Надписи на информационных конструкциях, указанных в пункте 5.34 настоящих Правил, выполняются на русском языке.</w:t>
            </w:r>
          </w:p>
          <w:p w:rsidR="005C615D" w:rsidRPr="000A387E" w:rsidRDefault="005C615D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конструкции, указанные в пункте 5.34 настоящих Правил, могут быть выполнены на иностранных языках с одновременным применением русского языка. При этом тексты на русском языке и иностранном языке,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разборчиво.</w:t>
            </w:r>
          </w:p>
          <w:p w:rsidR="001350E2" w:rsidRPr="000A387E" w:rsidRDefault="005C615D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настоящего пункта не применяются к случаям использования фирменных наименований, товарных знаков, знаков обслуживания, а также к другим случаям, предусмотренным законодательством Российской Федерации.</w:t>
            </w:r>
            <w:r w:rsidR="00E6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350E2" w:rsidRPr="000A387E" w:rsidTr="008A7B42">
        <w:tc>
          <w:tcPr>
            <w:tcW w:w="567" w:type="dxa"/>
          </w:tcPr>
          <w:p w:rsidR="001350E2" w:rsidRPr="000A387E" w:rsidRDefault="001350E2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  <w:vAlign w:val="center"/>
          </w:tcPr>
          <w:p w:rsidR="001350E2" w:rsidRPr="000A387E" w:rsidRDefault="001350E2" w:rsidP="00A43EA2">
            <w:pPr>
              <w:pStyle w:val="a6"/>
              <w:spacing w:before="168" w:beforeAutospacing="0" w:after="0" w:afterAutospacing="0"/>
              <w:ind w:firstLine="317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E606F2" w:rsidRDefault="00E606F2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 «Требования к размещению объявлений, листовок, информационных материалов, надписей и графических изображений» раздела V Правил дополнить пунктом 5.53-I следующего содержания:</w:t>
            </w:r>
          </w:p>
          <w:p w:rsidR="005C615D" w:rsidRPr="000A387E" w:rsidRDefault="00E606F2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615D"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5.53-I. Тексты объявлений, листовок, информационных материалов, надписей и графических изображений, предназначенных для публичного ознакомления потребителей, выполняются на русском языке. </w:t>
            </w:r>
          </w:p>
          <w:p w:rsidR="005C615D" w:rsidRPr="000A387E" w:rsidRDefault="005C615D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объявлений, листовок, информационных материалов, надписей и графических изображений, предназначенных для публичного ознакомления потребителей, могут быть выполнены на иностранных языках с одновременным применением русского языка. При этом тексты на русском языке и иностранном языке,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разборчиво.</w:t>
            </w:r>
          </w:p>
          <w:p w:rsidR="001350E2" w:rsidRPr="000A387E" w:rsidRDefault="005C615D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 настоящего пункта не применяются к случаям использования фирменных наименований, товарных знаков, знаков 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обслуживания, а также к другим случаям, предусмотренным законодательством Российской Федерации.</w:t>
            </w:r>
            <w:r w:rsidR="00E6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350E2" w:rsidRPr="000A387E" w:rsidTr="008A7B42">
        <w:tc>
          <w:tcPr>
            <w:tcW w:w="567" w:type="dxa"/>
          </w:tcPr>
          <w:p w:rsidR="001350E2" w:rsidRPr="000A387E" w:rsidRDefault="001350E2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1350E2" w:rsidRPr="000A387E" w:rsidRDefault="00691CF3" w:rsidP="000A387E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>6.57. Включение подсветки отдельно стоящих рекламных конструкций, подсветка витрин и вывесок производятся в соответствии с графиком включения устройств наружного освещения.</w:t>
            </w:r>
          </w:p>
        </w:tc>
        <w:tc>
          <w:tcPr>
            <w:tcW w:w="7598" w:type="dxa"/>
          </w:tcPr>
          <w:p w:rsidR="001350E2" w:rsidRPr="000A387E" w:rsidRDefault="00691CF3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6.57. Включение подсветки отдельно стоящих рекламных конструкций, подсветка витрин и вывесок производятся в соответствии </w:t>
            </w:r>
            <w:r w:rsidRPr="00FC1D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 </w:t>
            </w:r>
            <w:r w:rsidR="0096573E" w:rsidRPr="00FC1D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графиком работы наружного освещения улиц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1CF3" w:rsidRPr="000A387E" w:rsidTr="008A7B42">
        <w:tc>
          <w:tcPr>
            <w:tcW w:w="567" w:type="dxa"/>
          </w:tcPr>
          <w:p w:rsidR="00691CF3" w:rsidRPr="000A387E" w:rsidRDefault="00691CF3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9A29E7" w:rsidRPr="00E6210F" w:rsidRDefault="009A29E7" w:rsidP="009A29E7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6.68. Улицы, дороги, площади,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городской информации и витрины должны освещаться в темное время суток в соответствии с установленным графиком.</w:t>
            </w:r>
          </w:p>
          <w:p w:rsidR="009A29E7" w:rsidRPr="00E6210F" w:rsidRDefault="009A29E7" w:rsidP="009A29E7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Включение и отключение устройств наружного освещения подъездов жилых домов, аншлагов и номерных знаков домов и указателей улиц, а также систем архитектурно-художественной подсветки производятся в соответствии с установленным графиком работы наружного освещения улиц.</w:t>
            </w:r>
          </w:p>
          <w:p w:rsidR="009A29E7" w:rsidRPr="00E6210F" w:rsidRDefault="009A29E7" w:rsidP="009A29E7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График работы наружного освещения улиц утверждается постановлением Администрации города Твери и включает:</w:t>
            </w:r>
          </w:p>
          <w:p w:rsidR="009A29E7" w:rsidRPr="00E6210F" w:rsidRDefault="009A29E7" w:rsidP="009A29E7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- вечерний будничный режим, когда функционируют все стационарные светильники наружного освещения, за исключением систем праздничного освещения;</w:t>
            </w:r>
          </w:p>
          <w:p w:rsidR="009A29E7" w:rsidRPr="00E6210F" w:rsidRDefault="009A29E7" w:rsidP="009A29E7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 xml:space="preserve">- ночной дежурный режим, когда отключается часть светильников наружного освещения в соответствии </w:t>
            </w:r>
            <w:r w:rsidRPr="00E606F2">
              <w:rPr>
                <w:bCs/>
                <w:i/>
              </w:rPr>
              <w:t xml:space="preserve">с ГОСТ Р 50597-2017 </w:t>
            </w:r>
            <w:r w:rsidR="001522C5" w:rsidRPr="00E606F2">
              <w:rPr>
                <w:bCs/>
                <w:i/>
              </w:rPr>
              <w:t>«</w:t>
            </w:r>
            <w:r w:rsidRPr="00E606F2">
              <w:rPr>
                <w:bCs/>
                <w:i/>
              </w:rPr>
              <w:t>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</w:t>
            </w:r>
            <w:r w:rsidR="001522C5" w:rsidRPr="00E606F2">
              <w:rPr>
                <w:bCs/>
                <w:i/>
              </w:rPr>
              <w:t>жного движения. Методы контроля», ГОСТ Р 52766-2007 «</w:t>
            </w:r>
            <w:r w:rsidRPr="00E606F2">
              <w:rPr>
                <w:bCs/>
                <w:i/>
              </w:rPr>
              <w:t>Дороги автомобильные общего пользования. Элементы обустройства. Общие требования</w:t>
            </w:r>
            <w:r w:rsidR="001522C5" w:rsidRPr="00E606F2">
              <w:rPr>
                <w:bCs/>
                <w:i/>
              </w:rPr>
              <w:t>»</w:t>
            </w:r>
            <w:r w:rsidRPr="00E6210F">
              <w:rPr>
                <w:bCs/>
              </w:rPr>
              <w:t>;</w:t>
            </w:r>
          </w:p>
          <w:p w:rsidR="009A29E7" w:rsidRPr="00E6210F" w:rsidRDefault="009A29E7" w:rsidP="009A29E7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- праздничный режим, когда функционируют все стационарные светильники наружного освещения и системы праздничного освещения.</w:t>
            </w:r>
          </w:p>
        </w:tc>
        <w:tc>
          <w:tcPr>
            <w:tcW w:w="7598" w:type="dxa"/>
          </w:tcPr>
          <w:p w:rsidR="001522C5" w:rsidRPr="00E6210F" w:rsidRDefault="001522C5" w:rsidP="001522C5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6.68. Улицы, дороги, площади,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городской информации и витрины должны освещаться в темное время суток в соответствии с установленным графиком.</w:t>
            </w:r>
          </w:p>
          <w:p w:rsidR="001522C5" w:rsidRPr="00E6210F" w:rsidRDefault="001522C5" w:rsidP="001522C5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Включение и отключение устройств наружного освещения подъездов жилых домов, аншлагов и номерных знаков домов и указателей улиц, а также систем архитектурно-художественной подсветки производятся в соответствии с установленным графиком работы наружного освещения улиц.</w:t>
            </w:r>
          </w:p>
          <w:p w:rsidR="001522C5" w:rsidRPr="00E6210F" w:rsidRDefault="001522C5" w:rsidP="001522C5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График работы наружного освещения улиц утверждается постановлением Администрации города Твери и включает:</w:t>
            </w:r>
          </w:p>
          <w:p w:rsidR="001522C5" w:rsidRPr="00E6210F" w:rsidRDefault="001522C5" w:rsidP="001522C5">
            <w:pPr>
              <w:pStyle w:val="a6"/>
              <w:spacing w:before="168" w:after="0"/>
              <w:ind w:firstLine="317"/>
              <w:contextualSpacing/>
              <w:jc w:val="both"/>
              <w:rPr>
                <w:bCs/>
              </w:rPr>
            </w:pPr>
            <w:r w:rsidRPr="00E6210F">
              <w:rPr>
                <w:bCs/>
              </w:rPr>
              <w:t>- вечерний будничный режим, когда функционируют все стационарные светильники наружного освещения, за исключением систем праздничного освещения;</w:t>
            </w:r>
          </w:p>
          <w:p w:rsidR="00691CF3" w:rsidRPr="00E6210F" w:rsidRDefault="0096573E" w:rsidP="001522C5">
            <w:pPr>
              <w:pStyle w:val="a6"/>
              <w:spacing w:before="168" w:after="0"/>
              <w:ind w:firstLine="317"/>
              <w:contextualSpacing/>
              <w:jc w:val="both"/>
            </w:pPr>
            <w:r w:rsidRPr="00E6210F">
              <w:t>- ночной дежурный режим, когда отключается часть светильников наружного освещения в со</w:t>
            </w:r>
            <w:r w:rsidR="00E6210F" w:rsidRPr="00E6210F">
              <w:t xml:space="preserve">ответствии </w:t>
            </w:r>
            <w:r w:rsidR="00E6210F" w:rsidRPr="00FC1D70">
              <w:rPr>
                <w:b/>
                <w:u w:val="single"/>
              </w:rPr>
              <w:t xml:space="preserve">с ГОСТ Р 50597-2017 </w:t>
            </w:r>
            <w:r w:rsidRPr="00FC1D70">
              <w:rPr>
                <w:b/>
                <w:u w:val="single"/>
              </w:rPr>
              <w:t>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</w:t>
            </w:r>
            <w:r w:rsidR="00E6210F" w:rsidRPr="00FC1D70">
              <w:rPr>
                <w:b/>
                <w:u w:val="single"/>
              </w:rPr>
              <w:t>жного движения. Методы контроля</w:t>
            </w:r>
            <w:r w:rsidRPr="00FC1D70">
              <w:rPr>
                <w:b/>
                <w:u w:val="single"/>
              </w:rPr>
              <w:t xml:space="preserve">, </w:t>
            </w:r>
            <w:r w:rsidR="006A5109" w:rsidRPr="00FC1D70">
              <w:rPr>
                <w:b/>
                <w:u w:val="single"/>
              </w:rPr>
              <w:t>ГОСТ Р 52766-2007. Национальный стандарт Российской Федерации. Дороги автомобильные общего пользования. Элементы обустройства. Общие требования</w:t>
            </w:r>
            <w:r w:rsidRPr="00E6210F">
              <w:t>;</w:t>
            </w:r>
          </w:p>
          <w:p w:rsidR="00E6210F" w:rsidRPr="00E6210F" w:rsidRDefault="00E6210F" w:rsidP="001522C5">
            <w:pPr>
              <w:pStyle w:val="a6"/>
              <w:spacing w:before="168" w:after="0"/>
              <w:ind w:firstLine="317"/>
              <w:contextualSpacing/>
              <w:jc w:val="both"/>
            </w:pPr>
            <w:r w:rsidRPr="00E6210F">
              <w:t>- праздничный режим, когда функционируют все стационарные светильники наружного освещения и системы праздничного освещения.</w:t>
            </w:r>
          </w:p>
        </w:tc>
      </w:tr>
      <w:tr w:rsidR="00691CF3" w:rsidRPr="000A387E" w:rsidTr="008A7B42">
        <w:tc>
          <w:tcPr>
            <w:tcW w:w="567" w:type="dxa"/>
          </w:tcPr>
          <w:p w:rsidR="00691CF3" w:rsidRPr="000A387E" w:rsidRDefault="00691CF3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691CF3" w:rsidRPr="000A387E" w:rsidRDefault="006A5109" w:rsidP="001C15D5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>Инженерно-топографический план оформляется в соответствии с требованиями</w:t>
            </w:r>
            <w:r w:rsidR="001C15D5">
              <w:rPr>
                <w:bCs/>
              </w:rPr>
              <w:t xml:space="preserve"> </w:t>
            </w:r>
            <w:r w:rsidR="001C15D5" w:rsidRPr="009E2C6C">
              <w:rPr>
                <w:bCs/>
                <w:i/>
              </w:rPr>
              <w:t>Свода правил СП 47.13330.2016 «</w:t>
            </w:r>
            <w:r w:rsidRPr="009E2C6C">
              <w:rPr>
                <w:bCs/>
                <w:i/>
              </w:rPr>
              <w:t>Инженерные изыскания для строительства. Основные положения. Актуализированная редакция СНиП 11-02-96</w:t>
            </w:r>
            <w:r w:rsidR="001C15D5" w:rsidRPr="009E2C6C">
              <w:rPr>
                <w:bCs/>
                <w:i/>
              </w:rPr>
              <w:t>» и СП 11-104-97 «</w:t>
            </w:r>
            <w:r w:rsidRPr="009E2C6C">
              <w:rPr>
                <w:bCs/>
                <w:i/>
              </w:rPr>
              <w:t>Инженерно-геодезические изыскания для строительства</w:t>
            </w:r>
            <w:r w:rsidR="001C15D5" w:rsidRPr="009E2C6C">
              <w:rPr>
                <w:bCs/>
                <w:i/>
              </w:rPr>
              <w:t>»</w:t>
            </w:r>
            <w:r w:rsidRPr="000A387E">
              <w:rPr>
                <w:bCs/>
              </w:rPr>
              <w:t xml:space="preserve">. На инженерно-топографическом плане </w:t>
            </w:r>
            <w:r w:rsidRPr="000A387E">
              <w:rPr>
                <w:bCs/>
              </w:rPr>
              <w:lastRenderedPageBreak/>
              <w:t xml:space="preserve">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</w:t>
            </w:r>
            <w:r w:rsidRPr="009E2C6C">
              <w:rPr>
                <w:bCs/>
                <w:i/>
              </w:rPr>
              <w:t>подпунктов 5.189 - 5.199 СП 11-104-9</w:t>
            </w:r>
            <w:r w:rsidR="001C15D5" w:rsidRPr="009E2C6C">
              <w:rPr>
                <w:bCs/>
                <w:i/>
              </w:rPr>
              <w:t>7 «</w:t>
            </w:r>
            <w:r w:rsidRPr="009E2C6C">
              <w:rPr>
                <w:bCs/>
                <w:i/>
              </w:rPr>
              <w:t>Инженерно-геодезичес</w:t>
            </w:r>
            <w:r w:rsidR="001C15D5" w:rsidRPr="009E2C6C">
              <w:rPr>
                <w:bCs/>
                <w:i/>
              </w:rPr>
              <w:t>кие изыскания для строительства»</w:t>
            </w:r>
            <w:r w:rsidRPr="000A387E">
              <w:rPr>
                <w:bCs/>
              </w:rPr>
              <w:t>.</w:t>
            </w:r>
          </w:p>
        </w:tc>
        <w:tc>
          <w:tcPr>
            <w:tcW w:w="7598" w:type="dxa"/>
          </w:tcPr>
          <w:p w:rsidR="00691CF3" w:rsidRPr="000A387E" w:rsidRDefault="006A5109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Инженерно-топографический план оформляется в соответствии с требованиями </w:t>
            </w:r>
            <w:r w:rsidR="008B2FC9" w:rsidRPr="00E1422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СП 47.13330.2016. Свод правил. Инженерные изыскания для строительства. Основные положения. Актуализированная редакция СНиП 11-02-96 и СП 11-104-97. Система нормативных документов в строительстве. Инженерно-</w:t>
            </w:r>
            <w:r w:rsidR="008B2FC9" w:rsidRPr="00E1422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геодезические изыскания для строительства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</w:t>
            </w:r>
            <w:r w:rsidRPr="00E1422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подпунктов 5.189 - 5.199 </w:t>
            </w:r>
            <w:r w:rsidR="008B2FC9" w:rsidRPr="00E1422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СП 11-104-97. Система нормативных документов в строительстве. Инженерно-геодезические изыскания для строительства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1CF3" w:rsidRPr="000A387E" w:rsidTr="008A7B42">
        <w:tc>
          <w:tcPr>
            <w:tcW w:w="567" w:type="dxa"/>
          </w:tcPr>
          <w:p w:rsidR="00691CF3" w:rsidRPr="000A387E" w:rsidRDefault="00691CF3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691CF3" w:rsidRPr="000A387E" w:rsidRDefault="008B2FC9" w:rsidP="002A19A0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 xml:space="preserve">6.120. Работы по восстановлению асфальтобетонного покрытия должны осуществляться в соответствии </w:t>
            </w:r>
            <w:r w:rsidR="002A19A0">
              <w:rPr>
                <w:bCs/>
              </w:rPr>
              <w:t xml:space="preserve">с </w:t>
            </w:r>
            <w:r w:rsidR="002A19A0" w:rsidRPr="009E2C6C">
              <w:rPr>
                <w:bCs/>
                <w:i/>
              </w:rPr>
              <w:t>требованиями СНиП 3.06.03-85 «</w:t>
            </w:r>
            <w:r w:rsidRPr="009E2C6C">
              <w:rPr>
                <w:bCs/>
                <w:i/>
              </w:rPr>
              <w:t>Автомобильные дороги</w:t>
            </w:r>
            <w:r w:rsidR="002A19A0" w:rsidRPr="009E2C6C">
              <w:rPr>
                <w:bCs/>
                <w:i/>
              </w:rPr>
              <w:t>»</w:t>
            </w:r>
            <w:r w:rsidRPr="000A387E">
              <w:rPr>
                <w:bCs/>
              </w:rPr>
              <w:t xml:space="preserve"> и иных нормативных актов. При нарушении твердого покрытия проезжей части дороги на ширину 50% и более покрытие восстанавливается на всю ширину проезжей части дороги по всей длине разрытия.</w:t>
            </w:r>
          </w:p>
        </w:tc>
        <w:tc>
          <w:tcPr>
            <w:tcW w:w="7598" w:type="dxa"/>
          </w:tcPr>
          <w:p w:rsidR="00691CF3" w:rsidRPr="000A387E" w:rsidRDefault="008B2FC9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6.120. Работы по восстановлению асфальтобетонного покрытия должны осуществлятьс</w:t>
            </w:r>
            <w:r w:rsidR="00E1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соответствии с требованиями</w:t>
            </w:r>
            <w:r w:rsidR="00E1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16457" w:rsidRPr="00E1422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СП 78.13330.2012. Свод правил. Автомобильные дороги. Актуализированная редакция СНиП 3.06.03-85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иных нормативных актов. При нарушении твердого покрытия проезжей части дороги на ширину 50% и более покрытие восстанавливается на всю ширину проезжей части дороги по всей длине разрытия.</w:t>
            </w:r>
          </w:p>
        </w:tc>
      </w:tr>
      <w:tr w:rsidR="00691CF3" w:rsidRPr="000A387E" w:rsidTr="008A7B42">
        <w:tc>
          <w:tcPr>
            <w:tcW w:w="567" w:type="dxa"/>
          </w:tcPr>
          <w:p w:rsidR="00691CF3" w:rsidRPr="000A387E" w:rsidRDefault="00691CF3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691CF3" w:rsidRPr="000A387E" w:rsidRDefault="00016457" w:rsidP="002A19A0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>6.158. При планировочной организации пешеходных тротуаров должны предусматриваться обеспечение беспрепятственного доступа к зданиям и сооружениям инвалидов и других групп населения с ограниченными возможностями передвижения и их сопровождающих, а также оборудование специальных мест для маломобильных групп населения</w:t>
            </w:r>
            <w:r w:rsidR="002A19A0">
              <w:rPr>
                <w:bCs/>
              </w:rPr>
              <w:t xml:space="preserve"> в соответствии с требованиями </w:t>
            </w:r>
            <w:r w:rsidR="002A19A0" w:rsidRPr="009E2C6C">
              <w:rPr>
                <w:bCs/>
                <w:i/>
              </w:rPr>
              <w:t>«</w:t>
            </w:r>
            <w:r w:rsidRPr="009E2C6C">
              <w:rPr>
                <w:bCs/>
                <w:i/>
              </w:rPr>
              <w:t>СП 59.13330.2016. Свод правил. Доступность зданий и сооружений для маломобильных групп населения. Актуализированная редакция СНиП 35-01-2001</w:t>
            </w:r>
            <w:r w:rsidR="002A19A0" w:rsidRPr="009E2C6C">
              <w:rPr>
                <w:bCs/>
                <w:i/>
              </w:rPr>
              <w:t>»</w:t>
            </w:r>
            <w:r w:rsidRPr="000A387E">
              <w:rPr>
                <w:bCs/>
              </w:rPr>
              <w:t>.</w:t>
            </w:r>
          </w:p>
        </w:tc>
        <w:tc>
          <w:tcPr>
            <w:tcW w:w="7598" w:type="dxa"/>
          </w:tcPr>
          <w:p w:rsidR="00691CF3" w:rsidRPr="000A387E" w:rsidRDefault="00016457" w:rsidP="000A387E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6.158. При планировочной организации пешеходных тротуаров должны предусматриваться обеспечение беспрепятственного доступа к зданиям и сооружениям инвалидов и других групп населения с ограниченными возможностями передвижения и их сопровождающих, а также оборудование специальных мест для маломобильных групп населения в соответствии с требованиями </w:t>
            </w:r>
            <w:r w:rsidRPr="00E1422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СП 59.13330.2020. Свод правил. Доступность зданий и сооружений для маломобильных групп населения. СНиП 35-01-2001</w:t>
            </w: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1CF3" w:rsidRPr="000A387E" w:rsidTr="008A7B42">
        <w:tc>
          <w:tcPr>
            <w:tcW w:w="567" w:type="dxa"/>
          </w:tcPr>
          <w:p w:rsidR="00691CF3" w:rsidRPr="000A387E" w:rsidRDefault="00691CF3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</w:tcPr>
          <w:p w:rsidR="00691CF3" w:rsidRPr="000A387E" w:rsidRDefault="00FF6937" w:rsidP="000A387E">
            <w:pPr>
              <w:pStyle w:val="a6"/>
              <w:spacing w:before="168" w:beforeAutospacing="0" w:after="0" w:afterAutospacing="0"/>
              <w:ind w:firstLine="317"/>
              <w:contextualSpacing/>
              <w:jc w:val="both"/>
              <w:rPr>
                <w:bCs/>
              </w:rPr>
            </w:pPr>
            <w:r w:rsidRPr="000A387E">
              <w:rPr>
                <w:bCs/>
              </w:rPr>
              <w:t>10.3. Размещение и демонтаж праздничного оформления территорий города производятся в сроки, установленные правовыми актами Администрации города Твери.</w:t>
            </w:r>
          </w:p>
        </w:tc>
        <w:tc>
          <w:tcPr>
            <w:tcW w:w="7598" w:type="dxa"/>
            <w:vAlign w:val="center"/>
          </w:tcPr>
          <w:p w:rsidR="00691CF3" w:rsidRPr="000A387E" w:rsidRDefault="00FF6937" w:rsidP="002A19A0">
            <w:pPr>
              <w:autoSpaceDE w:val="0"/>
              <w:autoSpaceDN w:val="0"/>
              <w:adjustRightInd w:val="0"/>
              <w:ind w:firstLine="3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10.3 Правил признать утратившим силу.</w:t>
            </w:r>
          </w:p>
        </w:tc>
      </w:tr>
      <w:tr w:rsidR="000A5324" w:rsidRPr="000A387E" w:rsidTr="008A7B42">
        <w:trPr>
          <w:trHeight w:val="3757"/>
        </w:trPr>
        <w:tc>
          <w:tcPr>
            <w:tcW w:w="567" w:type="dxa"/>
          </w:tcPr>
          <w:p w:rsidR="000A5324" w:rsidRPr="000A387E" w:rsidRDefault="000A5324" w:rsidP="00845C4D">
            <w:pPr>
              <w:pStyle w:val="a6"/>
              <w:numPr>
                <w:ilvl w:val="0"/>
                <w:numId w:val="3"/>
              </w:numPr>
              <w:spacing w:before="168" w:beforeAutospacing="0" w:after="0" w:afterAutospacing="0"/>
              <w:ind w:left="0" w:firstLine="0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  <w:vAlign w:val="center"/>
          </w:tcPr>
          <w:p w:rsidR="000A5324" w:rsidRPr="002F0139" w:rsidRDefault="000A5324" w:rsidP="005C016B">
            <w:pPr>
              <w:pStyle w:val="a6"/>
              <w:tabs>
                <w:tab w:val="left" w:pos="1425"/>
              </w:tabs>
              <w:spacing w:before="120" w:beforeAutospacing="0" w:after="120" w:afterAutospacing="0"/>
              <w:ind w:firstLine="317"/>
              <w:contextualSpacing/>
              <w:jc w:val="center"/>
              <w:rPr>
                <w:bCs/>
              </w:rPr>
            </w:pPr>
          </w:p>
        </w:tc>
        <w:tc>
          <w:tcPr>
            <w:tcW w:w="7598" w:type="dxa"/>
            <w:vAlign w:val="center"/>
          </w:tcPr>
          <w:p w:rsidR="009E2C6C" w:rsidRPr="009E2C6C" w:rsidRDefault="009E2C6C" w:rsidP="009E2C6C">
            <w:pPr>
              <w:ind w:firstLine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Приложение 1 к Правилам дополнить строками следующего содержания:</w:t>
            </w:r>
            <w:bookmarkStart w:id="0" w:name="_GoBack"/>
            <w:bookmarkEnd w:id="0"/>
          </w:p>
          <w:p w:rsidR="009E2C6C" w:rsidRPr="009E2C6C" w:rsidRDefault="009E2C6C" w:rsidP="009E2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C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tbl>
            <w:tblPr>
              <w:tblStyle w:val="a3"/>
              <w:tblW w:w="7222" w:type="dxa"/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5027"/>
              <w:gridCol w:w="1559"/>
            </w:tblGrid>
            <w:tr w:rsidR="002F0139" w:rsidRPr="002F0139" w:rsidTr="00587306">
              <w:tc>
                <w:tcPr>
                  <w:tcW w:w="636" w:type="dxa"/>
                </w:tcPr>
                <w:p w:rsidR="009E2C6C" w:rsidRPr="002F0139" w:rsidRDefault="002F0139" w:rsidP="002F0139">
                  <w:pPr>
                    <w:pStyle w:val="a4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before="120" w:after="12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027" w:type="dxa"/>
                </w:tcPr>
                <w:p w:rsidR="002F0139" w:rsidRPr="002F0139" w:rsidRDefault="002F0139" w:rsidP="002F0139">
                  <w:pPr>
                    <w:pStyle w:val="a4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before="120" w:after="12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состояния фасадов на предмет наличия несанкционированных надписей, рисунков, графических изображений, объявлений, плакатов, иных информационных материалов</w:t>
                  </w:r>
                </w:p>
              </w:tc>
              <w:tc>
                <w:tcPr>
                  <w:tcW w:w="1559" w:type="dxa"/>
                </w:tcPr>
                <w:p w:rsidR="002F0139" w:rsidRPr="002F0139" w:rsidRDefault="002F0139" w:rsidP="00587306">
                  <w:pPr>
                    <w:pStyle w:val="a4"/>
                    <w:tabs>
                      <w:tab w:val="left" w:pos="491"/>
                    </w:tabs>
                    <w:autoSpaceDE w:val="0"/>
                    <w:autoSpaceDN w:val="0"/>
                    <w:adjustRightInd w:val="0"/>
                    <w:spacing w:before="120" w:after="12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</w:tr>
            <w:tr w:rsidR="002F0139" w:rsidRPr="002F0139" w:rsidTr="00587306">
              <w:tc>
                <w:tcPr>
                  <w:tcW w:w="636" w:type="dxa"/>
                </w:tcPr>
                <w:p w:rsidR="002F0139" w:rsidRPr="002F0139" w:rsidRDefault="002F0139" w:rsidP="002F0139">
                  <w:pPr>
                    <w:pStyle w:val="a4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before="120" w:after="12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9.1.</w:t>
                  </w:r>
                </w:p>
              </w:tc>
              <w:tc>
                <w:tcPr>
                  <w:tcW w:w="6586" w:type="dxa"/>
                  <w:gridSpan w:val="2"/>
                </w:tcPr>
                <w:p w:rsidR="002F0139" w:rsidRPr="002F0139" w:rsidRDefault="002F0139" w:rsidP="002F0139">
                  <w:pPr>
                    <w:pStyle w:val="a4"/>
                    <w:tabs>
                      <w:tab w:val="left" w:pos="1418"/>
                    </w:tabs>
                    <w:autoSpaceDE w:val="0"/>
                    <w:autoSpaceDN w:val="0"/>
                    <w:adjustRightInd w:val="0"/>
                    <w:spacing w:before="120" w:after="12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0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выявлении несанкционированных надписей, рисунков, графических изображений, объявлений, плакатов, иных информационных матери</w:t>
                  </w:r>
                  <w:r w:rsidR="00537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алов предельный срок удаления -</w:t>
                  </w:r>
                  <w:r w:rsidR="005376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F0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сутки</w:t>
                  </w:r>
                </w:p>
              </w:tc>
            </w:tr>
          </w:tbl>
          <w:p w:rsidR="000A5324" w:rsidRPr="002F0139" w:rsidRDefault="009E2C6C" w:rsidP="009E2C6C">
            <w:pPr>
              <w:autoSpaceDE w:val="0"/>
              <w:autoSpaceDN w:val="0"/>
              <w:adjustRightInd w:val="0"/>
              <w:spacing w:before="120" w:after="120"/>
              <w:ind w:firstLine="31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C2C4D" w:rsidRPr="00BC1F3F" w:rsidRDefault="00DC2C4D" w:rsidP="00BC1F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2C4D" w:rsidRPr="000A5324" w:rsidRDefault="004D225A" w:rsidP="00BC1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A532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Правовое управление Администрации города Твери</w:t>
      </w:r>
    </w:p>
    <w:sectPr w:rsidR="00DC2C4D" w:rsidRPr="000A5324" w:rsidSect="00BC1F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B4D55"/>
    <w:multiLevelType w:val="hybridMultilevel"/>
    <w:tmpl w:val="02FA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D7FD4"/>
    <w:multiLevelType w:val="hybridMultilevel"/>
    <w:tmpl w:val="FB9649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1137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32"/>
    <w:rsid w:val="00003540"/>
    <w:rsid w:val="00007793"/>
    <w:rsid w:val="00016457"/>
    <w:rsid w:val="000A387E"/>
    <w:rsid w:val="000A5324"/>
    <w:rsid w:val="000A6BCF"/>
    <w:rsid w:val="000B6B6B"/>
    <w:rsid w:val="000D10B6"/>
    <w:rsid w:val="00132639"/>
    <w:rsid w:val="001350E2"/>
    <w:rsid w:val="00142E79"/>
    <w:rsid w:val="001522C5"/>
    <w:rsid w:val="001762B3"/>
    <w:rsid w:val="001A2D76"/>
    <w:rsid w:val="001C15D5"/>
    <w:rsid w:val="002A19A0"/>
    <w:rsid w:val="002E6B32"/>
    <w:rsid w:val="002F0139"/>
    <w:rsid w:val="00307051"/>
    <w:rsid w:val="0032149B"/>
    <w:rsid w:val="0032722F"/>
    <w:rsid w:val="0041132A"/>
    <w:rsid w:val="004D225A"/>
    <w:rsid w:val="00501B87"/>
    <w:rsid w:val="00537670"/>
    <w:rsid w:val="00587306"/>
    <w:rsid w:val="005B7DE4"/>
    <w:rsid w:val="005C016B"/>
    <w:rsid w:val="005C615D"/>
    <w:rsid w:val="00691CF3"/>
    <w:rsid w:val="006A1900"/>
    <w:rsid w:val="006A5109"/>
    <w:rsid w:val="00781E28"/>
    <w:rsid w:val="0082019D"/>
    <w:rsid w:val="00821629"/>
    <w:rsid w:val="00845C4D"/>
    <w:rsid w:val="008A7B42"/>
    <w:rsid w:val="008B2FC9"/>
    <w:rsid w:val="0096573E"/>
    <w:rsid w:val="00967E12"/>
    <w:rsid w:val="009A29E7"/>
    <w:rsid w:val="009C0519"/>
    <w:rsid w:val="009C46FA"/>
    <w:rsid w:val="009E2C6C"/>
    <w:rsid w:val="00A37CB6"/>
    <w:rsid w:val="00A43EA2"/>
    <w:rsid w:val="00A8471A"/>
    <w:rsid w:val="00B0637E"/>
    <w:rsid w:val="00B40CA1"/>
    <w:rsid w:val="00B63689"/>
    <w:rsid w:val="00BC1F3F"/>
    <w:rsid w:val="00BD2099"/>
    <w:rsid w:val="00BE2F50"/>
    <w:rsid w:val="00C60C4E"/>
    <w:rsid w:val="00D92B89"/>
    <w:rsid w:val="00DC2C4D"/>
    <w:rsid w:val="00E14226"/>
    <w:rsid w:val="00E606F2"/>
    <w:rsid w:val="00E6210F"/>
    <w:rsid w:val="00EF18A6"/>
    <w:rsid w:val="00FC1D70"/>
    <w:rsid w:val="00FC759B"/>
    <w:rsid w:val="00FE3BAC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5E230-CFA6-4CCB-A051-E2C32D15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2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62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B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6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Кравченко Юлия Сергеевна</cp:lastModifiedBy>
  <cp:revision>4</cp:revision>
  <cp:lastPrinted>2026-04-01T07:40:00Z</cp:lastPrinted>
  <dcterms:created xsi:type="dcterms:W3CDTF">2026-03-30T14:44:00Z</dcterms:created>
  <dcterms:modified xsi:type="dcterms:W3CDTF">2026-04-02T09:09:00Z</dcterms:modified>
</cp:coreProperties>
</file>